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D6" w:rsidRPr="00DC34D6" w:rsidRDefault="00DC34D6" w:rsidP="00DC34D6">
      <w:pPr>
        <w:shd w:val="clear" w:color="auto" w:fill="FAFAFA"/>
        <w:spacing w:before="150" w:after="150" w:line="240" w:lineRule="auto"/>
        <w:jc w:val="both"/>
        <w:rPr>
          <w:rFonts w:ascii="Segoe UI" w:eastAsia="Times New Roman" w:hAnsi="Segoe UI" w:cs="Segoe UI"/>
          <w:color w:val="3E474C"/>
          <w:sz w:val="23"/>
          <w:szCs w:val="23"/>
        </w:rPr>
      </w:pP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Третьи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страны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,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чьи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граждане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или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конкретные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категории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граждан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этих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же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третьих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стран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подлежат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предварительной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консультации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.</w:t>
      </w:r>
    </w:p>
    <w:p w:rsidR="006F4E40" w:rsidRPr="00E27B27" w:rsidRDefault="00DC34D6" w:rsidP="006F4E40">
      <w:pPr>
        <w:jc w:val="both"/>
        <w:rPr>
          <w:lang w:val="ru-RU"/>
        </w:rPr>
      </w:pP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Согласно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статье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22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Визового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кодекса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,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государство-член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может</w:t>
      </w:r>
      <w:proofErr w:type="spellEnd"/>
      <w:r w:rsidR="006F4E40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r w:rsidR="006F4E40" w:rsidRPr="006F4E40">
        <w:rPr>
          <w:rFonts w:ascii="Segoe UI" w:eastAsia="Times New Roman" w:hAnsi="Segoe UI" w:cs="Segoe UI"/>
          <w:color w:val="3E474C"/>
          <w:sz w:val="23"/>
          <w:szCs w:val="23"/>
        </w:rPr>
        <w:t>в связи с вопросами политики, внутренней безопасности, международных отношений или общественного здоровья</w:t>
      </w:r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пот</w:t>
      </w:r>
      <w:bookmarkStart w:id="0" w:name="_GoBack"/>
      <w:bookmarkEnd w:id="0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ребовать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от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центральных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органов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других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государств-членов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проведения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консультации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с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его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центральными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органами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при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рассмотрении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заявок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на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получение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визы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,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поданных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гражданами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определенных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третьих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стран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или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определенными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категориями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этих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граждан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.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Такая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консультация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не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применяется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к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заявкам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на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получение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транзитных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виз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в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аэропорту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. </w:t>
      </w:r>
    </w:p>
    <w:p w:rsidR="006F4E40" w:rsidRDefault="006F4E40" w:rsidP="006F4E40">
      <w:pPr>
        <w:shd w:val="clear" w:color="auto" w:fill="FAFAFA"/>
        <w:spacing w:before="150" w:after="150" w:line="240" w:lineRule="auto"/>
        <w:jc w:val="both"/>
        <w:rPr>
          <w:sz w:val="24"/>
          <w:szCs w:val="24"/>
        </w:rPr>
      </w:pPr>
      <w:r w:rsidRPr="006F4E40">
        <w:rPr>
          <w:rFonts w:ascii="Segoe UI" w:eastAsia="Times New Roman" w:hAnsi="Segoe UI" w:cs="Segoe UI"/>
          <w:color w:val="3E474C"/>
          <w:sz w:val="23"/>
          <w:szCs w:val="23"/>
        </w:rPr>
        <w:t>Участники согласительной процедуры должны дать окончательный ответ как можно скорее и не позднее семи календарных дней после проведения такой процедуры. Если в течение этого срока ответ не получен, это считается, что участник процесса не возражает против выдачи визы.</w:t>
      </w:r>
      <w:r>
        <w:rPr>
          <w:sz w:val="24"/>
          <w:szCs w:val="24"/>
        </w:rPr>
        <w:t xml:space="preserve"> </w:t>
      </w:r>
    </w:p>
    <w:p w:rsidR="00DC34D6" w:rsidRPr="00DC34D6" w:rsidRDefault="00DC34D6" w:rsidP="006F4E40">
      <w:pPr>
        <w:shd w:val="clear" w:color="auto" w:fill="FAFAFA"/>
        <w:spacing w:before="150" w:after="150" w:line="240" w:lineRule="auto"/>
        <w:jc w:val="both"/>
        <w:rPr>
          <w:rFonts w:ascii="Segoe UI" w:eastAsia="Times New Roman" w:hAnsi="Segoe UI" w:cs="Segoe UI"/>
          <w:color w:val="3E474C"/>
          <w:sz w:val="23"/>
          <w:szCs w:val="23"/>
        </w:rPr>
      </w:pPr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В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приведенной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ниже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таблице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перечислены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третьи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страны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и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конкретные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категории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.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Когда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указана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третья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страна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,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это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означает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,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что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по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крайней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мере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одно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государство-член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требует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такой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предварительной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 xml:space="preserve"> </w:t>
      </w:r>
      <w:proofErr w:type="spellStart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консультации</w:t>
      </w:r>
      <w:proofErr w:type="spellEnd"/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.</w:t>
      </w:r>
    </w:p>
    <w:tbl>
      <w:tblPr>
        <w:tblW w:w="11213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7301"/>
      </w:tblGrid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>Третьи</w:t>
            </w:r>
            <w:proofErr w:type="spellEnd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>страны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>Соответствующие</w:t>
            </w:r>
            <w:proofErr w:type="spellEnd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>категории</w:t>
            </w:r>
            <w:proofErr w:type="spellEnd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 xml:space="preserve">, </w:t>
            </w:r>
            <w:proofErr w:type="spellStart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>если</w:t>
            </w:r>
            <w:proofErr w:type="spellEnd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>применимо</w:t>
            </w:r>
            <w:proofErr w:type="spellEnd"/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Афганистан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Алжир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Азербайджан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Бангладеш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Беларусь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Применяется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только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к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владельцам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дипломатических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и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служебных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паспортов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.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Демократическая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Республика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Конго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lastRenderedPageBreak/>
              <w:t>Египет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after="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Не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распространяется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на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владельцев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дипломатических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и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служебных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паспортов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.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Эритрея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Эфиопия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Иран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Ирак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Иордания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Кения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b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b/>
                <w:color w:val="3E474C"/>
                <w:sz w:val="23"/>
                <w:szCs w:val="23"/>
              </w:rPr>
              <w:t>Киргизия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Северная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Корея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Ливан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Ливия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Мали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Мавритания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Морокко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lastRenderedPageBreak/>
              <w:t>Нигер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Нигерия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Пакистан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Палестина¹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Российская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Федерация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Применяется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только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к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владельцам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служебных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паспортов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.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Руанда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               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Саудовская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Аравия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after="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Не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распространяется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на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владельцев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дипломатических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паспортов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.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Сомали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Южный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Судан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Шри-Ланка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Судан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Сирия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Таджикистан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Тунис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lastRenderedPageBreak/>
              <w:t>Tуркменистан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Узбекистан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Вьетнам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Йемен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</w:tbl>
    <w:p w:rsidR="00DC34D6" w:rsidRPr="00DC34D6" w:rsidRDefault="00DC34D6" w:rsidP="00DC34D6">
      <w:pPr>
        <w:shd w:val="clear" w:color="auto" w:fill="FAFAFA"/>
        <w:spacing w:before="150" w:after="150" w:line="240" w:lineRule="auto"/>
        <w:rPr>
          <w:rFonts w:ascii="Segoe UI" w:eastAsia="Times New Roman" w:hAnsi="Segoe UI" w:cs="Segoe UI"/>
          <w:color w:val="3E474C"/>
          <w:sz w:val="23"/>
          <w:szCs w:val="23"/>
        </w:rPr>
      </w:pPr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 </w:t>
      </w:r>
    </w:p>
    <w:p w:rsidR="00DC34D6" w:rsidRPr="00DC34D6" w:rsidRDefault="00DC34D6" w:rsidP="00DC34D6">
      <w:pPr>
        <w:shd w:val="clear" w:color="auto" w:fill="FAFAFA"/>
        <w:spacing w:before="150" w:after="150" w:line="240" w:lineRule="auto"/>
        <w:rPr>
          <w:rFonts w:ascii="Segoe UI" w:eastAsia="Times New Roman" w:hAnsi="Segoe UI" w:cs="Segoe UI"/>
          <w:color w:val="3E474C"/>
          <w:sz w:val="23"/>
          <w:szCs w:val="23"/>
        </w:rPr>
      </w:pPr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 </w:t>
      </w:r>
    </w:p>
    <w:p w:rsidR="00DC34D6" w:rsidRPr="00DC34D6" w:rsidRDefault="00DC34D6" w:rsidP="00DC34D6">
      <w:pPr>
        <w:shd w:val="clear" w:color="auto" w:fill="FAFAFA"/>
        <w:spacing w:before="150" w:after="150" w:line="240" w:lineRule="auto"/>
        <w:rPr>
          <w:rFonts w:ascii="Segoe UI" w:eastAsia="Times New Roman" w:hAnsi="Segoe UI" w:cs="Segoe UI"/>
          <w:color w:val="3E474C"/>
          <w:sz w:val="23"/>
          <w:szCs w:val="23"/>
        </w:rPr>
      </w:pPr>
      <w:r w:rsidRPr="00DC34D6">
        <w:rPr>
          <w:rFonts w:ascii="Segoe UI" w:eastAsia="Times New Roman" w:hAnsi="Segoe UI" w:cs="Segoe UI"/>
          <w:color w:val="3E474C"/>
          <w:sz w:val="23"/>
          <w:szCs w:val="23"/>
        </w:rPr>
        <w:t> </w:t>
      </w:r>
    </w:p>
    <w:tbl>
      <w:tblPr>
        <w:tblW w:w="11213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5"/>
        <w:gridCol w:w="2058"/>
      </w:tblGrid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after="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>Категория</w:t>
            </w:r>
            <w:proofErr w:type="spellEnd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b/>
                <w:bCs/>
                <w:color w:val="3E474C"/>
                <w:sz w:val="23"/>
                <w:szCs w:val="23"/>
              </w:rPr>
              <w:t>лиц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Беженцы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  <w:tr w:rsidR="00DC34D6" w:rsidRPr="00DC34D6" w:rsidTr="00DC34D6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Лица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без</w:t>
            </w:r>
            <w:proofErr w:type="spellEnd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 xml:space="preserve"> </w:t>
            </w:r>
            <w:proofErr w:type="spellStart"/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гражданства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C34D6" w:rsidRPr="00DC34D6" w:rsidRDefault="00DC34D6" w:rsidP="00DC34D6">
            <w:pPr>
              <w:spacing w:before="150" w:after="150" w:line="240" w:lineRule="auto"/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</w:pPr>
            <w:r w:rsidRPr="00DC34D6">
              <w:rPr>
                <w:rFonts w:ascii="Segoe UI" w:eastAsia="Times New Roman" w:hAnsi="Segoe UI" w:cs="Segoe UI"/>
                <w:color w:val="3E474C"/>
                <w:sz w:val="23"/>
                <w:szCs w:val="23"/>
              </w:rPr>
              <w:t> </w:t>
            </w:r>
          </w:p>
        </w:tc>
      </w:tr>
    </w:tbl>
    <w:p w:rsidR="00DC34D6" w:rsidRDefault="00DC34D6"/>
    <w:sectPr w:rsidR="00DC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06" w:rsidRDefault="00035206" w:rsidP="006F4E40">
      <w:pPr>
        <w:spacing w:after="0" w:line="240" w:lineRule="auto"/>
      </w:pPr>
      <w:r>
        <w:separator/>
      </w:r>
    </w:p>
  </w:endnote>
  <w:endnote w:type="continuationSeparator" w:id="0">
    <w:p w:rsidR="00035206" w:rsidRDefault="00035206" w:rsidP="006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06" w:rsidRDefault="00035206" w:rsidP="006F4E40">
      <w:pPr>
        <w:spacing w:after="0" w:line="240" w:lineRule="auto"/>
      </w:pPr>
      <w:r>
        <w:separator/>
      </w:r>
    </w:p>
  </w:footnote>
  <w:footnote w:type="continuationSeparator" w:id="0">
    <w:p w:rsidR="00035206" w:rsidRDefault="00035206" w:rsidP="006F4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D6"/>
    <w:rsid w:val="00035206"/>
    <w:rsid w:val="006F4E40"/>
    <w:rsid w:val="00D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CF414"/>
  <w15:chartTrackingRefBased/>
  <w15:docId w15:val="{3FCD2E56-CAAC-416B-8ED7-C2A569B6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C34D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F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4E40"/>
  </w:style>
  <w:style w:type="paragraph" w:styleId="llb">
    <w:name w:val="footer"/>
    <w:basedOn w:val="Norml"/>
    <w:link w:val="llbChar"/>
    <w:uiPriority w:val="99"/>
    <w:unhideWhenUsed/>
    <w:rsid w:val="006F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Külgazdasági és Külügyminisztérium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Zoltán - BIS</dc:creator>
  <cp:keywords/>
  <dc:description/>
  <cp:lastModifiedBy>Timár Zoltán - BIS</cp:lastModifiedBy>
  <cp:revision>2</cp:revision>
  <dcterms:created xsi:type="dcterms:W3CDTF">2021-09-14T06:32:00Z</dcterms:created>
  <dcterms:modified xsi:type="dcterms:W3CDTF">2023-04-10T18:48:00Z</dcterms:modified>
</cp:coreProperties>
</file>