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65B0" w14:textId="77777777" w:rsidR="00DC34D6" w:rsidRPr="00DC34D6" w:rsidRDefault="00DC34D6" w:rsidP="009D7F30">
      <w:pPr>
        <w:shd w:val="clear" w:color="auto" w:fill="FAFAFA"/>
        <w:spacing w:before="150" w:after="150" w:line="240" w:lineRule="auto"/>
        <w:jc w:val="center"/>
        <w:rPr>
          <w:rFonts w:ascii="Segoe UI" w:eastAsia="Times New Roman" w:hAnsi="Segoe UI" w:cs="Segoe UI"/>
          <w:color w:val="3E474C"/>
          <w:sz w:val="23"/>
          <w:szCs w:val="23"/>
        </w:rPr>
      </w:pP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Третьи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страны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,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чьи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граждане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или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конкретные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категории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граждан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этих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же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третьих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стран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подлежат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предварительной</w:t>
      </w:r>
      <w:proofErr w:type="spellEnd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 xml:space="preserve"> </w:t>
      </w:r>
      <w:proofErr w:type="spellStart"/>
      <w:r w:rsidRPr="009D7F30">
        <w:rPr>
          <w:rFonts w:ascii="Segoe UI" w:eastAsia="Times New Roman" w:hAnsi="Segoe UI" w:cs="Segoe UI"/>
          <w:b/>
          <w:color w:val="3E474C"/>
          <w:sz w:val="23"/>
          <w:szCs w:val="23"/>
        </w:rPr>
        <w:t>консультации</w:t>
      </w:r>
      <w:proofErr w:type="spellEnd"/>
    </w:p>
    <w:p w14:paraId="476EF69D" w14:textId="77777777" w:rsidR="006F4E40" w:rsidRPr="00E27B27" w:rsidRDefault="00DC34D6" w:rsidP="006F4E40">
      <w:pPr>
        <w:jc w:val="both"/>
        <w:rPr>
          <w:lang w:val="ru-RU"/>
        </w:rPr>
      </w:pP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Согласно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статье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22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Визового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кодекса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государство-член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может</w:t>
      </w:r>
      <w:proofErr w:type="spellEnd"/>
      <w:r w:rsid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в связи с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вопросами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политики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внутренней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безопасности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международных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отношений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или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общественного</w:t>
      </w:r>
      <w:proofErr w:type="spellEnd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="006F4E40" w:rsidRPr="006F4E40">
        <w:rPr>
          <w:rFonts w:ascii="Segoe UI" w:eastAsia="Times New Roman" w:hAnsi="Segoe UI" w:cs="Segoe UI"/>
          <w:color w:val="3E474C"/>
          <w:sz w:val="23"/>
          <w:szCs w:val="23"/>
        </w:rPr>
        <w:t>здоровья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потребовать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от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центральных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органов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других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государств-членов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проведения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консультации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с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его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центральными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органами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при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рассмотрении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заявок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на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получение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визы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поданных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гражданами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определенных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третьих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стран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или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определенными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категориями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этих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граждан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.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Такая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консультация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не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применяется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к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заявкам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на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получение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транзитных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виз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в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аэропорту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. </w:t>
      </w:r>
    </w:p>
    <w:p w14:paraId="06F7D189" w14:textId="77777777" w:rsidR="006F4E40" w:rsidRDefault="006F4E40" w:rsidP="006F4E40">
      <w:pPr>
        <w:shd w:val="clear" w:color="auto" w:fill="FAFAFA"/>
        <w:spacing w:before="150" w:after="150" w:line="240" w:lineRule="auto"/>
        <w:jc w:val="both"/>
        <w:rPr>
          <w:sz w:val="24"/>
          <w:szCs w:val="24"/>
        </w:rPr>
      </w:pPr>
      <w:r w:rsidRPr="006F4E40">
        <w:rPr>
          <w:rFonts w:ascii="Segoe UI" w:eastAsia="Times New Roman" w:hAnsi="Segoe UI" w:cs="Segoe UI"/>
          <w:color w:val="3E474C"/>
          <w:sz w:val="23"/>
          <w:szCs w:val="23"/>
        </w:rPr>
        <w:t>Участники согласительной процедуры должны дать окончательный ответ как можно скорее и не позднее семи календарных дней после проведения такой процедуры. Если в течение этого срока ответ не получен, это считается, что участник процесса не возражает против выдачи визы.</w:t>
      </w:r>
      <w:r>
        <w:rPr>
          <w:sz w:val="24"/>
          <w:szCs w:val="24"/>
        </w:rPr>
        <w:t xml:space="preserve"> </w:t>
      </w:r>
    </w:p>
    <w:p w14:paraId="6C2E28D8" w14:textId="77777777" w:rsidR="00DC34D6" w:rsidRPr="00DC34D6" w:rsidRDefault="00DC34D6" w:rsidP="006F4E40">
      <w:pPr>
        <w:shd w:val="clear" w:color="auto" w:fill="FAFAFA"/>
        <w:spacing w:before="150" w:after="150" w:line="240" w:lineRule="auto"/>
        <w:jc w:val="both"/>
        <w:rPr>
          <w:rFonts w:ascii="Segoe UI" w:eastAsia="Times New Roman" w:hAnsi="Segoe UI" w:cs="Segoe UI"/>
          <w:color w:val="3E474C"/>
          <w:sz w:val="23"/>
          <w:szCs w:val="23"/>
        </w:rPr>
      </w:pPr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В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приведенной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ниже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таблице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перечислены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третьи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страны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и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конкретные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категории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.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Когда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указана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третья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страна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это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означает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,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что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крайней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мере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одно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государство-член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требует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такой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предварительной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 xml:space="preserve"> </w:t>
      </w:r>
      <w:proofErr w:type="spellStart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консультации</w:t>
      </w:r>
      <w:proofErr w:type="spellEnd"/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.</w:t>
      </w:r>
    </w:p>
    <w:tbl>
      <w:tblPr>
        <w:tblW w:w="11213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shd w:val="clear" w:color="auto" w:fill="FA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6395"/>
      </w:tblGrid>
      <w:tr w:rsidR="00DC34D6" w:rsidRPr="00DC34D6" w14:paraId="3CDA7E32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1E1C986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Третьи</w:t>
            </w:r>
            <w:proofErr w:type="spellEnd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страны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DFCF89E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Соответствующие</w:t>
            </w:r>
            <w:proofErr w:type="spellEnd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категории</w:t>
            </w:r>
            <w:proofErr w:type="spellEnd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 xml:space="preserve">, </w:t>
            </w: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если</w:t>
            </w:r>
            <w:proofErr w:type="spellEnd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применимо</w:t>
            </w:r>
            <w:proofErr w:type="spellEnd"/>
          </w:p>
        </w:tc>
      </w:tr>
      <w:tr w:rsidR="00DC34D6" w:rsidRPr="00DC34D6" w14:paraId="3FAAD65F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52811DE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Афганистан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D4232F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B1690C" w:rsidRPr="00DC34D6" w14:paraId="0E802117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17EED8C6" w14:textId="44A782B6" w:rsidR="00B1690C" w:rsidRPr="00DC34D6" w:rsidRDefault="00B803A5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  <w:t>Албания</w:t>
            </w:r>
            <w:r w:rsidR="00B1690C">
              <w:rPr>
                <w:rStyle w:val="Lbjegyzet-hivatkozs"/>
                <w:rFonts w:ascii="Segoe UI" w:eastAsia="Times New Roman" w:hAnsi="Segoe UI" w:cs="Segoe UI"/>
                <w:color w:val="3E474C"/>
                <w:sz w:val="23"/>
                <w:szCs w:val="23"/>
              </w:rPr>
              <w:footnoteReference w:id="1"/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40FEEABD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48260FCE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4822D52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Алжир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11184F1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B1690C" w:rsidRPr="00DC34D6" w14:paraId="4363A0FD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77392E38" w14:textId="40313AB8" w:rsidR="00B1690C" w:rsidRPr="00B803A5" w:rsidRDefault="00B803A5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67AF191F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738752FB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023E4DF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Азербайджан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C102C7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457993A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987616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lastRenderedPageBreak/>
              <w:t>Бангладеш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9B01D0F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E994E84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F9DF23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Беларусь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9618E3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B1690C" w:rsidRPr="00DC34D6" w14:paraId="67E12EC8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2A65C777" w14:textId="495248FD" w:rsidR="00B1690C" w:rsidRPr="00DC34D6" w:rsidRDefault="00B803A5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B803A5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Босния</w:t>
            </w:r>
            <w:proofErr w:type="spellEnd"/>
            <w:r w:rsidRPr="00B803A5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и Герцеговина</w:t>
            </w:r>
            <w:r w:rsidR="00B1690C">
              <w:rPr>
                <w:rStyle w:val="Lbjegyzet-hivatkozs"/>
              </w:rPr>
              <w:t>1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1DA1EBD6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B1690C" w:rsidRPr="00DC34D6" w14:paraId="0D0EDD4A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44CC97C8" w14:textId="1F68410E" w:rsidR="00B1690C" w:rsidRPr="00B803A5" w:rsidRDefault="00B803A5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  <w:t>Чад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77E7A76C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68095162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E4C0786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Демократическая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Республика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Конго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5C95688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4D6C25F5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883FC5C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Египет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A753482" w14:textId="77777777" w:rsidR="00DC34D6" w:rsidRPr="00DC34D6" w:rsidRDefault="00DC34D6" w:rsidP="00DC34D6">
            <w:pPr>
              <w:spacing w:after="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71DEBD39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8F913D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Эритрея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67A6E1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41EC0385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90E357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Эфиопия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126A09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111A68F7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64FDB6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Иран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0A1252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5486932B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D39768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Ирак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08474E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61B153EC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9C8C81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Иордания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6B1E52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B1690C" w:rsidRPr="00DC34D6" w14:paraId="0CDD5C36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6AED7281" w14:textId="28486DDF" w:rsidR="00B1690C" w:rsidRPr="00B803A5" w:rsidRDefault="00B803A5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324E9CAD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01BBFC36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3274269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Кения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42B71D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3C12419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3C75DB0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b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b/>
                <w:color w:val="3E474C"/>
                <w:sz w:val="23"/>
                <w:szCs w:val="23"/>
              </w:rPr>
              <w:t>Киргизия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261FA0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2DB441D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392B93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lastRenderedPageBreak/>
              <w:t>Северная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Корея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ED81646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B1690C" w:rsidRPr="00DC34D6" w14:paraId="4FAF2684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30D0C75B" w14:textId="58623021" w:rsidR="00B1690C" w:rsidRPr="00DC34D6" w:rsidRDefault="00253347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E474C"/>
                <w:sz w:val="23"/>
                <w:szCs w:val="23"/>
                <w:lang w:val="ru-RU"/>
              </w:rPr>
              <w:t>Косово</w:t>
            </w:r>
            <w:r w:rsidR="009D7F30" w:rsidRPr="00D521CB">
              <w:rPr>
                <w:rStyle w:val="Lbjegyzet-hivatkozs"/>
              </w:rPr>
              <w:t>1</w:t>
            </w:r>
            <w:r w:rsidR="009D7F30" w:rsidRPr="00D521CB">
              <w:t xml:space="preserve"> </w:t>
            </w:r>
            <w:r w:rsidR="009D7F30" w:rsidRPr="00D521CB">
              <w:rPr>
                <w:rStyle w:val="Lbjegyzet-hivatkozs"/>
              </w:rPr>
              <w:footnoteReference w:id="2"/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14:paraId="547CB817" w14:textId="77777777" w:rsidR="00B1690C" w:rsidRPr="00DC34D6" w:rsidRDefault="00B1690C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4C53B6DD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D657FD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Ливан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9E5B4BF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4ED375EA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29B0DF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Ливия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173496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416473D4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15F8420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Мали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85C8B9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5DD0D696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5BC6089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Мавритания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6D03D69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9108666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FC5127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Морокко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662D84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6BD6DF82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A009FA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Нигер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4FA27D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1BBCAF5A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D4962D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Нигерия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362434C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030466B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09FC32C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Пакистан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C0F40A7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6C93E7F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70A6B8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Палестина</w:t>
            </w:r>
            <w:proofErr w:type="spellEnd"/>
            <w:r w:rsidR="009D7F30">
              <w:rPr>
                <w:rStyle w:val="Lbjegyzet-hivatkozs"/>
                <w:rFonts w:ascii="Segoe UI" w:eastAsia="Times New Roman" w:hAnsi="Segoe UI" w:cs="Segoe UI"/>
                <w:color w:val="3E474C"/>
                <w:sz w:val="23"/>
                <w:szCs w:val="23"/>
              </w:rPr>
              <w:footnoteReference w:id="3"/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5CC3991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9A82E1E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16F91A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Российская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Федерация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032EBA9" w14:textId="77777777" w:rsidR="009D7F30" w:rsidRPr="009D7F30" w:rsidRDefault="009D7F30" w:rsidP="009D7F30">
            <w:pPr>
              <w:pStyle w:val="HTML-kntformzott"/>
              <w:shd w:val="clear" w:color="auto" w:fill="F8F9FA"/>
              <w:jc w:val="both"/>
              <w:rPr>
                <w:rFonts w:ascii="Segoe UI" w:hAnsi="Segoe UI" w:cs="Segoe UI"/>
                <w:color w:val="1F1F1F"/>
                <w:sz w:val="21"/>
                <w:szCs w:val="21"/>
              </w:rPr>
            </w:pPr>
            <w:r w:rsidRPr="009D7F30">
              <w:rPr>
                <w:rStyle w:val="y2iqfc"/>
                <w:rFonts w:ascii="Segoe UI" w:hAnsi="Segoe UI" w:cs="Segoe UI"/>
                <w:color w:val="1F1F1F"/>
                <w:sz w:val="21"/>
                <w:szCs w:val="21"/>
                <w:lang w:val="ru-RU"/>
              </w:rPr>
              <w:t>Применяется к гражданам Российской Федерации</w:t>
            </w:r>
          </w:p>
          <w:p w14:paraId="4C879D3E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4A88E872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3FDD92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lastRenderedPageBreak/>
              <w:t>Руанда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C80F6CE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                </w:t>
            </w:r>
          </w:p>
        </w:tc>
      </w:tr>
      <w:tr w:rsidR="00DC34D6" w:rsidRPr="00DC34D6" w14:paraId="3E3B87E0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14A2C51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Саудовская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Аравия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592DD2B" w14:textId="77777777" w:rsidR="00DC34D6" w:rsidRPr="00DC34D6" w:rsidRDefault="00DC34D6" w:rsidP="00DC34D6">
            <w:pPr>
              <w:spacing w:after="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</w:p>
        </w:tc>
      </w:tr>
      <w:tr w:rsidR="00DC34D6" w:rsidRPr="00DC34D6" w14:paraId="73B7BE1E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CD865C5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Сомали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4C4FA00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1FAC017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B058938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Южный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Судан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E6E2127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2F6F649D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BA813E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Шри-Ланка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A10BEA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2B469166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F73A13E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Судан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1FDA8E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5A2CD8C8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D44AEE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Сирия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EF78EC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19F992C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58559DC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Таджикистан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7D5014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37AFA445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2C421A7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Тунис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94BB01B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2DE5A238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83DC83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Tуркменистан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536444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6A691FAB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D8D1D0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Узбекистан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9A06C58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57A6D96F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DF0C9B2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Вьетнам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976A50D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076264BC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6F05EF3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Йемен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E777222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</w:tbl>
    <w:p w14:paraId="64BF46BA" w14:textId="77777777" w:rsidR="00DC34D6" w:rsidRPr="00DC34D6" w:rsidRDefault="00DC34D6" w:rsidP="00DC34D6">
      <w:pPr>
        <w:shd w:val="clear" w:color="auto" w:fill="FAFAFA"/>
        <w:spacing w:before="150" w:after="150" w:line="240" w:lineRule="auto"/>
        <w:rPr>
          <w:rFonts w:ascii="Segoe UI" w:eastAsia="Times New Roman" w:hAnsi="Segoe UI" w:cs="Segoe UI"/>
          <w:color w:val="3E474C"/>
          <w:sz w:val="23"/>
          <w:szCs w:val="23"/>
        </w:rPr>
      </w:pPr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 </w:t>
      </w:r>
    </w:p>
    <w:p w14:paraId="190943E3" w14:textId="77777777" w:rsidR="00DC34D6" w:rsidRPr="00DC34D6" w:rsidRDefault="00DC34D6" w:rsidP="00DC34D6">
      <w:pPr>
        <w:shd w:val="clear" w:color="auto" w:fill="FAFAFA"/>
        <w:spacing w:before="150" w:after="150" w:line="240" w:lineRule="auto"/>
        <w:rPr>
          <w:rFonts w:ascii="Segoe UI" w:eastAsia="Times New Roman" w:hAnsi="Segoe UI" w:cs="Segoe UI"/>
          <w:color w:val="3E474C"/>
          <w:sz w:val="23"/>
          <w:szCs w:val="23"/>
        </w:rPr>
      </w:pPr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t> </w:t>
      </w:r>
    </w:p>
    <w:p w14:paraId="137E07AD" w14:textId="77777777" w:rsidR="00DC34D6" w:rsidRPr="00DC34D6" w:rsidRDefault="00DC34D6" w:rsidP="00DC34D6">
      <w:pPr>
        <w:shd w:val="clear" w:color="auto" w:fill="FAFAFA"/>
        <w:spacing w:before="150" w:after="150" w:line="240" w:lineRule="auto"/>
        <w:rPr>
          <w:rFonts w:ascii="Segoe UI" w:eastAsia="Times New Roman" w:hAnsi="Segoe UI" w:cs="Segoe UI"/>
          <w:color w:val="3E474C"/>
          <w:sz w:val="23"/>
          <w:szCs w:val="23"/>
        </w:rPr>
      </w:pPr>
      <w:r w:rsidRPr="00DC34D6">
        <w:rPr>
          <w:rFonts w:ascii="Segoe UI" w:eastAsia="Times New Roman" w:hAnsi="Segoe UI" w:cs="Segoe UI"/>
          <w:color w:val="3E474C"/>
          <w:sz w:val="23"/>
          <w:szCs w:val="23"/>
        </w:rPr>
        <w:lastRenderedPageBreak/>
        <w:t> </w:t>
      </w:r>
    </w:p>
    <w:tbl>
      <w:tblPr>
        <w:tblW w:w="11213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shd w:val="clear" w:color="auto" w:fill="FA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5"/>
        <w:gridCol w:w="2058"/>
      </w:tblGrid>
      <w:tr w:rsidR="00DC34D6" w:rsidRPr="00DC34D6" w14:paraId="10086AA4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4F931C4" w14:textId="77777777" w:rsidR="00DC34D6" w:rsidRPr="00DC34D6" w:rsidRDefault="00DC34D6" w:rsidP="00DC34D6">
            <w:pPr>
              <w:spacing w:after="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Категория</w:t>
            </w:r>
            <w:proofErr w:type="spellEnd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b/>
                <w:bCs/>
                <w:color w:val="3E474C"/>
                <w:sz w:val="23"/>
                <w:szCs w:val="23"/>
              </w:rPr>
              <w:t>лиц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6F715B4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2B9E7ECD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DEFDDA9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Беженцы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6176C31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  <w:tr w:rsidR="00DC34D6" w:rsidRPr="00DC34D6" w14:paraId="775D3E62" w14:textId="77777777" w:rsidTr="00DC34D6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A7340A2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Лица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без</w:t>
            </w:r>
            <w:proofErr w:type="spellEnd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 xml:space="preserve"> </w:t>
            </w:r>
            <w:proofErr w:type="spellStart"/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гражданства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2836F9A" w14:textId="77777777" w:rsidR="00DC34D6" w:rsidRPr="00DC34D6" w:rsidRDefault="00DC34D6" w:rsidP="00DC34D6">
            <w:pPr>
              <w:spacing w:before="150" w:after="150" w:line="240" w:lineRule="auto"/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</w:pPr>
            <w:r w:rsidRPr="00DC34D6">
              <w:rPr>
                <w:rFonts w:ascii="Segoe UI" w:eastAsia="Times New Roman" w:hAnsi="Segoe UI" w:cs="Segoe UI"/>
                <w:color w:val="3E474C"/>
                <w:sz w:val="23"/>
                <w:szCs w:val="23"/>
              </w:rPr>
              <w:t> </w:t>
            </w:r>
          </w:p>
        </w:tc>
      </w:tr>
    </w:tbl>
    <w:p w14:paraId="4F2F34D4" w14:textId="77777777" w:rsidR="00DC34D6" w:rsidRDefault="00DC34D6"/>
    <w:sectPr w:rsidR="00DC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D48C" w14:textId="77777777" w:rsidR="00617F95" w:rsidRDefault="00617F95" w:rsidP="006F4E40">
      <w:pPr>
        <w:spacing w:after="0" w:line="240" w:lineRule="auto"/>
      </w:pPr>
      <w:r>
        <w:separator/>
      </w:r>
    </w:p>
  </w:endnote>
  <w:endnote w:type="continuationSeparator" w:id="0">
    <w:p w14:paraId="3F98EEF3" w14:textId="77777777" w:rsidR="00617F95" w:rsidRDefault="00617F95" w:rsidP="006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DB84" w14:textId="77777777" w:rsidR="00617F95" w:rsidRDefault="00617F95" w:rsidP="006F4E40">
      <w:pPr>
        <w:spacing w:after="0" w:line="240" w:lineRule="auto"/>
      </w:pPr>
      <w:r>
        <w:separator/>
      </w:r>
    </w:p>
  </w:footnote>
  <w:footnote w:type="continuationSeparator" w:id="0">
    <w:p w14:paraId="33C4A524" w14:textId="77777777" w:rsidR="00617F95" w:rsidRDefault="00617F95" w:rsidP="006F4E40">
      <w:pPr>
        <w:spacing w:after="0" w:line="240" w:lineRule="auto"/>
      </w:pPr>
      <w:r>
        <w:continuationSeparator/>
      </w:r>
    </w:p>
  </w:footnote>
  <w:footnote w:id="1">
    <w:p w14:paraId="68F9FD42" w14:textId="77777777" w:rsidR="00B1690C" w:rsidRPr="00B1690C" w:rsidRDefault="00B1690C" w:rsidP="00B1690C">
      <w:pPr>
        <w:pStyle w:val="HTML-kntformzott"/>
        <w:shd w:val="clear" w:color="auto" w:fill="F8F9FA"/>
        <w:jc w:val="both"/>
        <w:rPr>
          <w:rFonts w:ascii="Segoe UI" w:hAnsi="Segoe UI" w:cs="Segoe UI"/>
          <w:color w:val="1F1F1F"/>
          <w:sz w:val="21"/>
          <w:szCs w:val="21"/>
          <w:lang w:val="ru-RU"/>
        </w:rPr>
      </w:pPr>
      <w:r>
        <w:rPr>
          <w:rStyle w:val="Lbjegyzet-hivatkozs"/>
        </w:rPr>
        <w:footnoteRef/>
      </w:r>
      <w:r>
        <w:t xml:space="preserve"> </w:t>
      </w:r>
      <w:r w:rsidRPr="00B1690C">
        <w:rPr>
          <w:rFonts w:ascii="Segoe UI" w:hAnsi="Segoe UI" w:cs="Segoe UI"/>
          <w:color w:val="1F1F1F"/>
          <w:sz w:val="21"/>
          <w:szCs w:val="21"/>
          <w:lang w:val="ru-RU"/>
        </w:rPr>
        <w:t>Граждане этих стран и территорий могут въезжать в ЕС без виз. Предварительная консультация требуется только в том случае, если</w:t>
      </w:r>
      <w:r>
        <w:rPr>
          <w:rFonts w:ascii="Segoe UI" w:hAnsi="Segoe UI" w:cs="Segoe UI"/>
          <w:color w:val="1F1F1F"/>
          <w:sz w:val="21"/>
          <w:szCs w:val="21"/>
        </w:rPr>
        <w:t xml:space="preserve"> </w:t>
      </w:r>
      <w:r w:rsidRPr="00B1690C">
        <w:rPr>
          <w:rFonts w:ascii="Segoe UI" w:hAnsi="Segoe UI" w:cs="Segoe UI"/>
          <w:color w:val="1F1F1F"/>
          <w:sz w:val="21"/>
          <w:szCs w:val="21"/>
          <w:lang w:val="ru-RU"/>
        </w:rPr>
        <w:t>исключений из безвизового режима применяется в соответствии с Регламентом 2018/1806, а краткосрочная виза была</w:t>
      </w:r>
      <w:r>
        <w:rPr>
          <w:rFonts w:ascii="Segoe UI" w:hAnsi="Segoe UI" w:cs="Segoe UI"/>
          <w:color w:val="1F1F1F"/>
          <w:sz w:val="21"/>
          <w:szCs w:val="21"/>
        </w:rPr>
        <w:t xml:space="preserve"> </w:t>
      </w:r>
      <w:r w:rsidRPr="00B1690C">
        <w:rPr>
          <w:rFonts w:ascii="Segoe UI" w:hAnsi="Segoe UI" w:cs="Segoe UI"/>
          <w:color w:val="1F1F1F"/>
          <w:sz w:val="21"/>
          <w:szCs w:val="21"/>
          <w:lang w:val="ru-RU"/>
        </w:rPr>
        <w:t>подали заявку в соответствии с Визовым кодексом.</w:t>
      </w:r>
    </w:p>
    <w:p w14:paraId="5975C217" w14:textId="77777777" w:rsidR="00B1690C" w:rsidRDefault="00B1690C">
      <w:pPr>
        <w:pStyle w:val="Lbjegyzetszveg"/>
      </w:pPr>
    </w:p>
  </w:footnote>
  <w:footnote w:id="2">
    <w:p w14:paraId="15A3C287" w14:textId="77777777" w:rsidR="009D7F30" w:rsidRPr="009D7F30" w:rsidRDefault="009D7F30" w:rsidP="009D7F30">
      <w:pPr>
        <w:pStyle w:val="HTML-kntformzott"/>
        <w:shd w:val="clear" w:color="auto" w:fill="F8F9FA"/>
        <w:jc w:val="both"/>
        <w:rPr>
          <w:rFonts w:ascii="Segoe UI" w:hAnsi="Segoe UI" w:cs="Segoe UI"/>
          <w:color w:val="1F1F1F"/>
          <w:sz w:val="21"/>
          <w:szCs w:val="21"/>
          <w:lang w:val="ru-RU"/>
        </w:rPr>
      </w:pPr>
      <w:r>
        <w:rPr>
          <w:rStyle w:val="Lbjegyzet-hivatkozs"/>
        </w:rPr>
        <w:footnoteRef/>
      </w:r>
      <w:r>
        <w:t xml:space="preserve"> </w:t>
      </w:r>
      <w:r w:rsidRPr="009D7F30">
        <w:rPr>
          <w:rStyle w:val="y2iqfc"/>
          <w:rFonts w:ascii="Segoe UI" w:hAnsi="Segoe UI" w:cs="Segoe UI"/>
          <w:color w:val="1F1F1F"/>
          <w:sz w:val="21"/>
          <w:szCs w:val="21"/>
          <w:lang w:val="ru-RU"/>
        </w:rPr>
        <w:t>Это определение не наносит ущерба позициям по статусу и соответствует Резолюции СБ</w:t>
      </w:r>
      <w:r>
        <w:rPr>
          <w:rStyle w:val="y2iqfc"/>
          <w:rFonts w:ascii="Segoe UI" w:hAnsi="Segoe UI" w:cs="Segoe UI"/>
          <w:color w:val="1F1F1F"/>
          <w:sz w:val="21"/>
          <w:szCs w:val="21"/>
        </w:rPr>
        <w:t xml:space="preserve"> </w:t>
      </w:r>
      <w:r w:rsidRPr="009D7F30">
        <w:rPr>
          <w:rStyle w:val="y2iqfc"/>
          <w:rFonts w:ascii="Segoe UI" w:hAnsi="Segoe UI" w:cs="Segoe UI"/>
          <w:color w:val="1F1F1F"/>
          <w:sz w:val="21"/>
          <w:szCs w:val="21"/>
          <w:lang w:val="ru-RU"/>
        </w:rPr>
        <w:t>ООН 1244/1999 и Международному суду ООН</w:t>
      </w:r>
      <w:r>
        <w:rPr>
          <w:rStyle w:val="y2iqfc"/>
          <w:rFonts w:ascii="Segoe UI" w:hAnsi="Segoe UI" w:cs="Segoe UI"/>
          <w:color w:val="1F1F1F"/>
          <w:sz w:val="21"/>
          <w:szCs w:val="21"/>
        </w:rPr>
        <w:t xml:space="preserve"> </w:t>
      </w:r>
      <w:r w:rsidRPr="009D7F30">
        <w:rPr>
          <w:rStyle w:val="y2iqfc"/>
          <w:rFonts w:ascii="Segoe UI" w:hAnsi="Segoe UI" w:cs="Segoe UI"/>
          <w:color w:val="1F1F1F"/>
          <w:sz w:val="21"/>
          <w:szCs w:val="21"/>
          <w:lang w:val="ru-RU"/>
        </w:rPr>
        <w:t>Мнение о декларации независимости Косово.</w:t>
      </w:r>
    </w:p>
    <w:p w14:paraId="466A642C" w14:textId="77777777" w:rsidR="009D7F30" w:rsidRDefault="009D7F30">
      <w:pPr>
        <w:pStyle w:val="Lbjegyzetszveg"/>
      </w:pPr>
    </w:p>
  </w:footnote>
  <w:footnote w:id="3">
    <w:p w14:paraId="7A91CF7C" w14:textId="77777777" w:rsidR="009D7F30" w:rsidRDefault="009D7F30" w:rsidP="009D7F30">
      <w:pPr>
        <w:pStyle w:val="HTML-kntformzott"/>
        <w:shd w:val="clear" w:color="auto" w:fill="F8F9FA"/>
        <w:jc w:val="both"/>
        <w:rPr>
          <w:rFonts w:ascii="inherit" w:hAnsi="inherit"/>
          <w:color w:val="1F1F1F"/>
          <w:sz w:val="42"/>
          <w:szCs w:val="42"/>
        </w:rPr>
      </w:pPr>
      <w:r>
        <w:rPr>
          <w:rStyle w:val="Lbjegyzet-hivatkozs"/>
        </w:rPr>
        <w:footnoteRef/>
      </w:r>
      <w:r>
        <w:t xml:space="preserve"> </w:t>
      </w:r>
      <w:r w:rsidRPr="009D7F30">
        <w:rPr>
          <w:rStyle w:val="y2iqfc"/>
          <w:rFonts w:ascii="Segoe UI" w:hAnsi="Segoe UI" w:cs="Segoe UI"/>
          <w:color w:val="1F1F1F"/>
          <w:sz w:val="21"/>
          <w:szCs w:val="21"/>
          <w:lang w:val="ru-RU"/>
        </w:rPr>
        <w:t xml:space="preserve">Это </w:t>
      </w:r>
      <w:r w:rsidRPr="009D7F30">
        <w:rPr>
          <w:rStyle w:val="y2iqfc"/>
          <w:rFonts w:ascii="Segoe UI" w:hAnsi="Segoe UI" w:cs="Segoe UI"/>
          <w:color w:val="1F1F1F"/>
          <w:sz w:val="21"/>
          <w:szCs w:val="21"/>
          <w:lang w:val="ru-RU"/>
        </w:rPr>
        <w:t>назначение не должно быть истолковано как признание Государства Палестина и не наносит ущерба индивидуальным позициям государств-членов по этому вопросу.</w:t>
      </w:r>
    </w:p>
    <w:p w14:paraId="46D1D0A4" w14:textId="77777777" w:rsidR="009D7F30" w:rsidRDefault="009D7F30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6"/>
    <w:rsid w:val="00035206"/>
    <w:rsid w:val="00253347"/>
    <w:rsid w:val="00617F95"/>
    <w:rsid w:val="00682357"/>
    <w:rsid w:val="006F4E40"/>
    <w:rsid w:val="00991DE0"/>
    <w:rsid w:val="009D7F30"/>
    <w:rsid w:val="00B1690C"/>
    <w:rsid w:val="00B803A5"/>
    <w:rsid w:val="00D521CB"/>
    <w:rsid w:val="00DC34D6"/>
    <w:rsid w:val="00D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1A59B"/>
  <w15:chartTrackingRefBased/>
  <w15:docId w15:val="{3FCD2E56-CAAC-416B-8ED7-C2A569B6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C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C34D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6F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E40"/>
  </w:style>
  <w:style w:type="paragraph" w:styleId="llb">
    <w:name w:val="footer"/>
    <w:basedOn w:val="Norml"/>
    <w:link w:val="llbChar"/>
    <w:uiPriority w:val="99"/>
    <w:unhideWhenUsed/>
    <w:rsid w:val="006F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E4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69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69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690C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B16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B1690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Bekezdsalapbettpusa"/>
    <w:rsid w:val="00B1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F9B0-D177-46D0-8846-96CF2C5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Külgazdasági és Külügyminisztérium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Timár Zoltán - BIS</dc:creator>
  <cp:keywords/>
  <dc:description/>
  <cp:lastModifiedBy>Szederkényi Gergely - BIS</cp:lastModifiedBy>
  <cp:revision>5</cp:revision>
  <dcterms:created xsi:type="dcterms:W3CDTF">2021-09-14T06:32:00Z</dcterms:created>
  <dcterms:modified xsi:type="dcterms:W3CDTF">2024-04-23T06:19:00Z</dcterms:modified>
</cp:coreProperties>
</file>